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D71E" w14:textId="77777777"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14:paraId="6CDA4A13" w14:textId="77777777" w:rsidR="00A1605C" w:rsidRPr="005F071E" w:rsidRDefault="00A1605C" w:rsidP="005F071E">
      <w:pPr>
        <w:jc w:val="center"/>
        <w:rPr>
          <w:b/>
          <w:sz w:val="28"/>
          <w:szCs w:val="28"/>
        </w:rPr>
      </w:pPr>
    </w:p>
    <w:p w14:paraId="0D58B33E" w14:textId="77777777"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14:paraId="1EE0FA36" w14:textId="77777777"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14:paraId="37EBB54C" w14:textId="77777777"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14:paraId="6896E99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14:paraId="008D376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933E90" w14:textId="77777777"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14:paraId="5FD3F37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1307A77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14:paraId="1BD71DB2" w14:textId="77777777"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14:paraId="269AEFC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14:paraId="20EEB03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14:paraId="7FEBFE68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14:paraId="1B8BCB5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14:paraId="5D05010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14:paraId="24045DE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14:paraId="56924466" w14:textId="77777777"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14:paraId="4456D7B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14:paraId="529E7F7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14:paraId="258BE479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14:paraId="02C8C84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14:paraId="6BB923B6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9BF2FC" w14:textId="77777777"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14:paraId="51C56D4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FF5FA5" w14:textId="77777777"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14:paraId="6904FEA7" w14:textId="77777777"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14:paraId="7FAA31F8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14:paraId="3F4BE71D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14:paraId="5DEE0C4A" w14:textId="77777777"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14:paraId="105A5B09" w14:textId="77777777"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14:paraId="75632E2D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14:paraId="78EF603E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14:paraId="124C19F2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0C8C104A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14:paraId="7459A346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14:paraId="2DD99DB5" w14:textId="77777777"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и </w:t>
      </w:r>
      <w:r w:rsidRPr="005F071E">
        <w:rPr>
          <w:sz w:val="28"/>
          <w:szCs w:val="28"/>
        </w:rPr>
        <w:lastRenderedPageBreak/>
        <w:t>штрафов;</w:t>
      </w:r>
    </w:p>
    <w:p w14:paraId="1083E42D" w14:textId="77777777"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14:paraId="2ED54766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14:paraId="4720DE9C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14:paraId="5308D63F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14:paraId="151004FB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14:paraId="229BDFB6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14:paraId="50E20A61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14:paraId="0AB50D19" w14:textId="77777777"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14:paraId="5EC43419" w14:textId="77777777"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14:paraId="280F8FE1" w14:textId="77777777"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14:paraId="780F7AAF" w14:textId="77777777"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14:paraId="04E28483" w14:textId="77777777"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14:paraId="01024FAA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14:paraId="50B6D777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14:paraId="1174DE9B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14:paraId="4B8C8E3D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14:paraId="6A39A142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14:paraId="3FEC5EC8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14:paraId="69FCF785" w14:textId="77777777"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</w:t>
      </w:r>
      <w:r w:rsidR="00A00FE7" w:rsidRPr="005F071E">
        <w:rPr>
          <w:sz w:val="28"/>
          <w:szCs w:val="28"/>
        </w:rPr>
        <w:lastRenderedPageBreak/>
        <w:t>общероссийских общественных объединений, не являющихся политическими партиями; Общественной палатой Российской Федерации.</w:t>
      </w:r>
    </w:p>
    <w:p w14:paraId="28B0937E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14:paraId="19170B03" w14:textId="77777777"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14:paraId="240E3B72" w14:textId="77777777"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14:paraId="510B5795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14:paraId="3B2BE0CC" w14:textId="77777777"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14:paraId="1D5BBAA4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313F8D2" w14:textId="77777777"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14:paraId="103D88ED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23BAB082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услуг </w:t>
      </w:r>
      <w:r w:rsidRPr="005F071E">
        <w:rPr>
          <w:sz w:val="28"/>
          <w:szCs w:val="28"/>
        </w:rPr>
        <w:lastRenderedPageBreak/>
        <w:t>имущественного характера, иных имущественных прав вопреки законным интересам общества и государства.</w:t>
      </w:r>
    </w:p>
    <w:p w14:paraId="4C123ED9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14:paraId="7301D994" w14:textId="77777777"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14:paraId="2904FF4C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14:paraId="3FC2DC4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14:paraId="318874B1" w14:textId="77777777"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14:paraId="5AF1844A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14:paraId="7E6CEA7D" w14:textId="77777777"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336CB4EC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14:paraId="6C6590C8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14:paraId="0F703AB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14:paraId="5F88AA2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14:paraId="18F5C004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14:paraId="26D4255B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14:paraId="33A9EDF9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14:paraId="191B421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14:paraId="45C38E5A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14:paraId="7A38E14B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14:paraId="7327E8D6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14:paraId="5D1C5DD7" w14:textId="77777777"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14:paraId="2448E3F0" w14:textId="77777777"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14:paraId="1B5D3812" w14:textId="77777777"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14:paraId="623CC1C2" w14:textId="77777777"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14:paraId="4FE22AA8" w14:textId="77777777"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14:paraId="328B608C" w14:textId="77777777"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14:paraId="2803BBD2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14:paraId="32491C6A" w14:textId="77777777"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14:paraId="39D3E008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14:paraId="10465E5D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14:paraId="769EC5E3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1A86D5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14:paraId="48B36C79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65548A8" w14:textId="77777777"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14:paraId="30D121AF" w14:textId="77777777"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14:paraId="62060971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14:paraId="1CA53036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14:paraId="08373A46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14:paraId="49C33AD0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14:paraId="61B41DEB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14:paraId="55ECB0D6" w14:textId="77777777"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14:paraId="7448F43B" w14:textId="77777777"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14:paraId="2DCE6A41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14:paraId="62CF0BF7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14:paraId="3C0AE017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14:paraId="0843B8A3" w14:textId="77777777"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14:paraId="290EF65F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14:paraId="3E0E53FB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14:paraId="46B8AA3C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14:paraId="3567A8C6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14:paraId="64C279C3" w14:textId="77777777"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14:paraId="13C612C5" w14:textId="77777777"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</w:t>
      </w:r>
      <w:r w:rsidRPr="005F071E">
        <w:rPr>
          <w:sz w:val="28"/>
          <w:szCs w:val="28"/>
        </w:rPr>
        <w:lastRenderedPageBreak/>
        <w:t xml:space="preserve">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14:paraId="30CADCBE" w14:textId="77777777"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14:paraId="7183424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14:paraId="5393B002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14:paraId="63D4185D" w14:textId="77777777"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14:paraId="5AB7873E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CC3F19" w14:textId="77777777"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14:paraId="2F9D794D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4342EF" w14:textId="77777777"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14:paraId="7A6B9AFF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14:paraId="0D26101E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14:paraId="0844FC89" w14:textId="77777777"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14:paraId="5998B8A2" w14:textId="77777777"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корректировка перечня коррупционно-опасных функций и перечня должностей в федеральных государственных органах и государственных </w:t>
      </w:r>
      <w:r w:rsidRPr="005F071E">
        <w:rPr>
          <w:sz w:val="28"/>
          <w:szCs w:val="28"/>
        </w:rPr>
        <w:lastRenderedPageBreak/>
        <w:t>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14:paraId="52F006C7" w14:textId="77777777"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14:paraId="5D40D7A8" w14:textId="77777777"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14:paraId="1B9E404B" w14:textId="77777777"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14:paraId="2115452E" w14:textId="77777777"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14:paraId="480BB793" w14:textId="77777777"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14:paraId="048E4F48" w14:textId="77777777"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14:paraId="62843E91" w14:textId="77777777"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14:paraId="06613079" w14:textId="77777777"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14:paraId="598D45BB" w14:textId="77777777"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14:paraId="1BB9047B" w14:textId="77777777"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23EDAB97" w14:textId="77777777"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14:paraId="6FDC8F94" w14:textId="77777777"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7D04CB" w14:textId="77777777"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</w:t>
      </w:r>
      <w:r w:rsidRPr="005F071E">
        <w:rPr>
          <w:rFonts w:eastAsiaTheme="minorHAnsi"/>
          <w:sz w:val="28"/>
          <w:szCs w:val="28"/>
          <w:lang w:eastAsia="en-US"/>
        </w:rPr>
        <w:lastRenderedPageBreak/>
        <w:t>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14:paraId="062DCC79" w14:textId="77777777"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14:paraId="2609E0A7" w14:textId="77777777"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A07" w14:textId="77777777" w:rsidR="004F1204" w:rsidRDefault="004F1204" w:rsidP="00200F49">
      <w:r>
        <w:separator/>
      </w:r>
    </w:p>
  </w:endnote>
  <w:endnote w:type="continuationSeparator" w:id="0">
    <w:p w14:paraId="68ED1F42" w14:textId="77777777" w:rsidR="004F1204" w:rsidRDefault="004F1204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D08" w14:textId="77777777" w:rsidR="004F1204" w:rsidRDefault="004F1204" w:rsidP="00200F49">
      <w:r>
        <w:separator/>
      </w:r>
    </w:p>
  </w:footnote>
  <w:footnote w:type="continuationSeparator" w:id="0">
    <w:p w14:paraId="6908B181" w14:textId="77777777" w:rsidR="004F1204" w:rsidRDefault="004F1204" w:rsidP="00200F49">
      <w:r>
        <w:continuationSeparator/>
      </w:r>
    </w:p>
  </w:footnote>
  <w:footnote w:id="1">
    <w:p w14:paraId="3BD46570" w14:textId="77777777"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14:paraId="5E445F37" w14:textId="77777777" w:rsidR="00FC72E2" w:rsidRDefault="00FC72E2" w:rsidP="00AC3712">
      <w:pPr>
        <w:pStyle w:val="a3"/>
        <w:ind w:firstLine="709"/>
      </w:pPr>
    </w:p>
  </w:footnote>
  <w:footnote w:id="2">
    <w:p w14:paraId="00059F8B" w14:textId="77777777"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14:paraId="72C653D0" w14:textId="77777777" w:rsidR="00FC72E2" w:rsidRDefault="00FC72E2">
      <w:pPr>
        <w:pStyle w:val="a3"/>
        <w:ind w:firstLine="709"/>
      </w:pPr>
    </w:p>
  </w:footnote>
  <w:footnote w:id="3">
    <w:p w14:paraId="3D8A34DF" w14:textId="77777777"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Указ Президента Российской </w:t>
      </w:r>
      <w:r>
        <w:rPr>
          <w:rFonts w:eastAsiaTheme="minorHAnsi"/>
          <w:sz w:val="20"/>
          <w:szCs w:val="20"/>
          <w:lang w:eastAsia="en-US"/>
        </w:rPr>
        <w:t>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14:paraId="7A1B1C69" w14:textId="77777777"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7D1DDA55" w14:textId="77777777"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561" w14:textId="77777777"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DDCCFD" w14:textId="77777777"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DCC0" w14:textId="77777777"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89C">
      <w:rPr>
        <w:rStyle w:val="a7"/>
        <w:noProof/>
      </w:rPr>
      <w:t>12</w:t>
    </w:r>
    <w:r>
      <w:rPr>
        <w:rStyle w:val="a7"/>
      </w:rPr>
      <w:fldChar w:fldCharType="end"/>
    </w:r>
  </w:p>
  <w:p w14:paraId="22368898" w14:textId="77777777"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3072122">
    <w:abstractNumId w:val="4"/>
  </w:num>
  <w:num w:numId="2" w16cid:durableId="1647318866">
    <w:abstractNumId w:val="5"/>
  </w:num>
  <w:num w:numId="3" w16cid:durableId="266622069">
    <w:abstractNumId w:val="7"/>
  </w:num>
  <w:num w:numId="4" w16cid:durableId="13071171">
    <w:abstractNumId w:val="2"/>
  </w:num>
  <w:num w:numId="5" w16cid:durableId="429742576">
    <w:abstractNumId w:val="3"/>
  </w:num>
  <w:num w:numId="6" w16cid:durableId="1482114966">
    <w:abstractNumId w:val="6"/>
  </w:num>
  <w:num w:numId="7" w16cid:durableId="1381709145">
    <w:abstractNumId w:val="0"/>
  </w:num>
  <w:num w:numId="8" w16cid:durableId="22357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3F389C"/>
    <w:rsid w:val="00430C37"/>
    <w:rsid w:val="0044639E"/>
    <w:rsid w:val="00457D0B"/>
    <w:rsid w:val="00474150"/>
    <w:rsid w:val="00487AA0"/>
    <w:rsid w:val="004B512C"/>
    <w:rsid w:val="004F1204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B2B09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975D"/>
  <w15:docId w15:val="{543FB465-AD84-4DE0-B4F9-9E44ED1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7002-4F6C-4F58-B3E6-A28063A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cp:lastPrinted>2014-12-24T07:30:00Z</cp:lastPrinted>
  <dcterms:created xsi:type="dcterms:W3CDTF">2023-07-13T14:15:00Z</dcterms:created>
  <dcterms:modified xsi:type="dcterms:W3CDTF">2023-07-13T14:15:00Z</dcterms:modified>
</cp:coreProperties>
</file>